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C86" w:rsidRDefault="000B4A95">
      <w:pPr>
        <w:tabs>
          <w:tab w:val="center" w:pos="4537"/>
          <w:tab w:val="right" w:pos="9071"/>
        </w:tabs>
        <w:spacing w:after="0" w:line="259" w:lineRule="auto"/>
        <w:ind w:left="-15" w:right="-15" w:firstLine="0"/>
      </w:pPr>
      <w:bookmarkStart w:id="0" w:name="_GoBack"/>
      <w:bookmarkEnd w:id="0"/>
      <w:r>
        <w:rPr>
          <w:noProof/>
        </w:rPr>
        <w:drawing>
          <wp:inline distT="0" distB="0" distL="0" distR="0">
            <wp:extent cx="2134235" cy="62738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
                    <a:stretch>
                      <a:fillRect/>
                    </a:stretch>
                  </pic:blipFill>
                  <pic:spPr>
                    <a:xfrm>
                      <a:off x="0" y="0"/>
                      <a:ext cx="2134235" cy="627380"/>
                    </a:xfrm>
                    <a:prstGeom prst="rect">
                      <a:avLst/>
                    </a:prstGeom>
                  </pic:spPr>
                </pic:pic>
              </a:graphicData>
            </a:graphic>
          </wp:inline>
        </w:drawing>
      </w:r>
      <w:r>
        <w:t xml:space="preserve"> </w:t>
      </w:r>
      <w:r>
        <w:tab/>
        <w:t xml:space="preserve"> </w:t>
      </w:r>
      <w:r>
        <w:tab/>
      </w:r>
      <w:r>
        <w:rPr>
          <w:sz w:val="18"/>
        </w:rPr>
        <w:t xml:space="preserve">Carina </w:t>
      </w:r>
      <w:proofErr w:type="spellStart"/>
      <w:r>
        <w:rPr>
          <w:sz w:val="18"/>
        </w:rPr>
        <w:t>Anteskog</w:t>
      </w:r>
      <w:proofErr w:type="spellEnd"/>
      <w:r>
        <w:rPr>
          <w:sz w:val="18"/>
        </w:rPr>
        <w:t xml:space="preserve"> 2019-03-27</w:t>
      </w:r>
      <w:r>
        <w:t xml:space="preserve"> </w:t>
      </w:r>
    </w:p>
    <w:p w:rsidR="00516C86" w:rsidRDefault="000B4A95">
      <w:pPr>
        <w:spacing w:after="314" w:line="259" w:lineRule="auto"/>
        <w:ind w:left="0" w:firstLine="0"/>
      </w:pPr>
      <w:r>
        <w:t xml:space="preserve"> </w:t>
      </w:r>
    </w:p>
    <w:p w:rsidR="00516C86" w:rsidRDefault="000B4A95">
      <w:pPr>
        <w:pStyle w:val="Rubrik1"/>
      </w:pPr>
      <w:r>
        <w:t xml:space="preserve">Historik kring dokument gällande Kommunalisering av Hemsjukvården </w:t>
      </w:r>
    </w:p>
    <w:p w:rsidR="00516C86" w:rsidRDefault="000B4A95">
      <w:pPr>
        <w:spacing w:after="203" w:line="259" w:lineRule="auto"/>
        <w:ind w:left="0" w:firstLine="0"/>
      </w:pPr>
      <w:r>
        <w:rPr>
          <w:color w:val="0563C1"/>
        </w:rPr>
        <w:t xml:space="preserve"> </w:t>
      </w:r>
    </w:p>
    <w:p w:rsidR="00516C86" w:rsidRDefault="000B4A95">
      <w:pPr>
        <w:pStyle w:val="Rubrik2"/>
        <w:ind w:left="-5"/>
      </w:pPr>
      <w:r>
        <w:t xml:space="preserve">1:a  versionen av Rehabilitering Habilitering och hjälpmedel från 2012 </w:t>
      </w:r>
    </w:p>
    <w:p w:rsidR="00516C86" w:rsidRDefault="000B4A95">
      <w:pPr>
        <w:ind w:left="-5" w:right="235"/>
      </w:pPr>
      <w:r>
        <w:t xml:space="preserve">I Dalarna fanns det sedan 1999 ett avtal mellan landstinget och kommunerna </w:t>
      </w:r>
    </w:p>
    <w:p w:rsidR="00516C86" w:rsidRDefault="000B4A95">
      <w:pPr>
        <w:ind w:left="-5" w:right="616"/>
      </w:pPr>
      <w:r>
        <w:t xml:space="preserve">”Alla Vinner 2” som reglerade ansvaret inklusive kostnader för hjälpmedel. Alla vinner 2 ersattes av Rehabilitering, Habilitering och Hjälpmedel  med anvisning från 2012-09-28. Innehållet skulle tydliggöra det gemensamma ansvaret för re/habilitering och hjälpmedel samt anvisning för genomförande. </w:t>
      </w:r>
    </w:p>
    <w:p w:rsidR="00516C86" w:rsidRDefault="000B4A95">
      <w:pPr>
        <w:ind w:left="-5" w:right="235"/>
      </w:pPr>
      <w:r>
        <w:t xml:space="preserve">Uppdraget gavs av projektledningen för arbetet med kommunaliseringen av hemsjukvården i Dalarna. Arbetsgruppen utsågs av den gemensamma LOK-gruppen (Landsting och Kommuner i samverkan). Anvisningen följdes upp i slutet av 2013 och revidering påbörjades. </w:t>
      </w:r>
    </w:p>
    <w:p w:rsidR="00516C86" w:rsidRDefault="000B4A95">
      <w:pPr>
        <w:spacing w:after="201" w:line="259" w:lineRule="auto"/>
        <w:ind w:left="0" w:firstLine="0"/>
      </w:pPr>
      <w:r>
        <w:t xml:space="preserve"> </w:t>
      </w:r>
    </w:p>
    <w:p w:rsidR="00516C86" w:rsidRDefault="000B4A95">
      <w:pPr>
        <w:pStyle w:val="Rubrik2"/>
        <w:ind w:left="-5"/>
      </w:pPr>
      <w:r>
        <w:t xml:space="preserve">LD 12/03663 Hantering av kostnader för Hjälpmedel </w:t>
      </w:r>
    </w:p>
    <w:p w:rsidR="00516C86" w:rsidRDefault="000B4A95">
      <w:pPr>
        <w:ind w:left="-5" w:right="2566"/>
      </w:pPr>
      <w:r>
        <w:t xml:space="preserve">Beredningsgrupp Hjälpmedel gavs av Förvaltningschef Karin Stikå- Mjöberg genom primärvårdssamordnare Karin Torberger i uppdrag att ta fram ny skrivelse gällande hantering av kostnader, förskrivning och uppföljningsansvar för hjälpmedel och därtill hörande tjänster. Dokumentet ersatte skrivelsen </w:t>
      </w:r>
      <w:r>
        <w:rPr>
          <w:i/>
        </w:rPr>
        <w:t>”Hantering av kostnader för handikapphjälpmedel” från 2005-01-01 Dnr 0196/04</w:t>
      </w:r>
      <w:r>
        <w:t xml:space="preserve"> och skulle belysa hanterandet i korthet. I övrigt hänvisades till skrivna avtal och </w:t>
      </w:r>
    </w:p>
    <w:p w:rsidR="00516C86" w:rsidRDefault="000B4A95">
      <w:pPr>
        <w:ind w:left="-5" w:right="1446"/>
      </w:pPr>
      <w:r>
        <w:t xml:space="preserve">överenskommelser. I uppdraget betonades det att det skulle vara möjligt för ansvarig verksamhetschef att följa upp och påverka de egna hjälpmedelskostnaderna. </w:t>
      </w:r>
    </w:p>
    <w:p w:rsidR="00516C86" w:rsidRDefault="000B4A95">
      <w:pPr>
        <w:ind w:left="-5" w:right="2230"/>
      </w:pPr>
      <w:r>
        <w:t xml:space="preserve">Syftet var att underlätta för berörda att hantera ansvars- och kostnadsfrågor rörande förskrivning av hjälpmedel. • att klarlägga roller för inblandade aktörer </w:t>
      </w:r>
    </w:p>
    <w:p w:rsidR="00516C86" w:rsidRDefault="000B4A95">
      <w:pPr>
        <w:numPr>
          <w:ilvl w:val="0"/>
          <w:numId w:val="1"/>
        </w:numPr>
        <w:ind w:right="235" w:hanging="161"/>
      </w:pPr>
      <w:r>
        <w:t xml:space="preserve">att medarbetare inte skulle lägga tid på att leta betalare </w:t>
      </w:r>
    </w:p>
    <w:p w:rsidR="00516C86" w:rsidRDefault="000B4A95">
      <w:pPr>
        <w:numPr>
          <w:ilvl w:val="0"/>
          <w:numId w:val="1"/>
        </w:numPr>
        <w:spacing w:after="173"/>
        <w:ind w:right="235" w:hanging="161"/>
      </w:pPr>
      <w:r>
        <w:t xml:space="preserve">att patienten inte hänvisas till olika enheter </w:t>
      </w:r>
    </w:p>
    <w:p w:rsidR="00516C86" w:rsidRDefault="000B4A95">
      <w:pPr>
        <w:spacing w:after="171"/>
        <w:ind w:left="-5" w:right="235"/>
      </w:pPr>
      <w:r>
        <w:t xml:space="preserve">Denna skrift utgick vid lanseringen av 2:a versionen av Rehabilitering, Habilitering och Hjälpmedel vilket dock inte har kommunicerats i tillräcklig omfattning. </w:t>
      </w:r>
    </w:p>
    <w:p w:rsidR="00516C86" w:rsidRDefault="000B4A95">
      <w:pPr>
        <w:spacing w:after="201" w:line="259" w:lineRule="auto"/>
        <w:ind w:left="0" w:firstLine="0"/>
      </w:pPr>
      <w:r>
        <w:t xml:space="preserve"> </w:t>
      </w:r>
    </w:p>
    <w:p w:rsidR="00516C86" w:rsidRDefault="000B4A95">
      <w:pPr>
        <w:pStyle w:val="Rubrik2"/>
        <w:ind w:left="-5"/>
      </w:pPr>
      <w:r>
        <w:t xml:space="preserve">2:a  versionen av Rehabilitering, Habilitering och Hjälpmedel  </w:t>
      </w:r>
    </w:p>
    <w:p w:rsidR="00516C86" w:rsidRDefault="000B4A95">
      <w:pPr>
        <w:spacing w:after="170"/>
        <w:ind w:left="-5" w:right="235"/>
      </w:pPr>
      <w:r>
        <w:t xml:space="preserve">Antagen från 16-09-30 av Länsnätverk Chefer Giltigt från 2016-11-01 – 2017-12-31 </w:t>
      </w:r>
    </w:p>
    <w:p w:rsidR="00516C86" w:rsidRDefault="000B4A95">
      <w:pPr>
        <w:spacing w:after="170"/>
        <w:ind w:left="-5" w:right="235"/>
      </w:pPr>
      <w:r>
        <w:t xml:space="preserve">Vid revidering inför 2016 bakades huvuddokument och kortversion ihop till en utvidgad anvisning och övriga dokument utgick. Vid presentation för Chefsnätverket informerades det om att övriga dokument utgick men tyvärr finns detta inte noterat i mötesanteckning/beslut. Det framgår inte heller tydligt på dokumentets framsida under Historik. Dokumenten har dock plockats bort från aktuella sidor redan under 2016. </w:t>
      </w:r>
    </w:p>
    <w:p w:rsidR="00516C86" w:rsidRDefault="000B4A95">
      <w:pPr>
        <w:spacing w:after="158" w:line="259" w:lineRule="auto"/>
        <w:ind w:left="0" w:firstLine="0"/>
      </w:pPr>
      <w:r>
        <w:t xml:space="preserve"> </w:t>
      </w:r>
    </w:p>
    <w:p w:rsidR="00516C86" w:rsidRDefault="000B4A95">
      <w:pPr>
        <w:spacing w:after="160" w:line="259" w:lineRule="auto"/>
        <w:ind w:left="0" w:firstLine="0"/>
      </w:pPr>
      <w:r>
        <w:lastRenderedPageBreak/>
        <w:t xml:space="preserve"> </w:t>
      </w:r>
    </w:p>
    <w:p w:rsidR="00516C86" w:rsidRDefault="000B4A95">
      <w:pPr>
        <w:spacing w:after="0" w:line="259" w:lineRule="auto"/>
        <w:ind w:left="0" w:firstLine="0"/>
      </w:pPr>
      <w:r>
        <w:t xml:space="preserve"> </w:t>
      </w:r>
    </w:p>
    <w:p w:rsidR="00516C86" w:rsidRDefault="000B4A95">
      <w:pPr>
        <w:tabs>
          <w:tab w:val="center" w:pos="4537"/>
          <w:tab w:val="right" w:pos="9071"/>
        </w:tabs>
        <w:spacing w:after="0" w:line="259" w:lineRule="auto"/>
        <w:ind w:left="-15" w:right="-15" w:firstLine="0"/>
      </w:pPr>
      <w:r>
        <w:rPr>
          <w:noProof/>
        </w:rPr>
        <w:drawing>
          <wp:inline distT="0" distB="0" distL="0" distR="0">
            <wp:extent cx="2134235" cy="627380"/>
            <wp:effectExtent l="0" t="0" r="0" b="0"/>
            <wp:docPr id="250" name="Picture 250"/>
            <wp:cNvGraphicFramePr/>
            <a:graphic xmlns:a="http://schemas.openxmlformats.org/drawingml/2006/main">
              <a:graphicData uri="http://schemas.openxmlformats.org/drawingml/2006/picture">
                <pic:pic xmlns:pic="http://schemas.openxmlformats.org/drawingml/2006/picture">
                  <pic:nvPicPr>
                    <pic:cNvPr id="250" name="Picture 250"/>
                    <pic:cNvPicPr/>
                  </pic:nvPicPr>
                  <pic:blipFill>
                    <a:blip r:embed="rId5"/>
                    <a:stretch>
                      <a:fillRect/>
                    </a:stretch>
                  </pic:blipFill>
                  <pic:spPr>
                    <a:xfrm>
                      <a:off x="0" y="0"/>
                      <a:ext cx="2134235" cy="627380"/>
                    </a:xfrm>
                    <a:prstGeom prst="rect">
                      <a:avLst/>
                    </a:prstGeom>
                  </pic:spPr>
                </pic:pic>
              </a:graphicData>
            </a:graphic>
          </wp:inline>
        </w:drawing>
      </w:r>
      <w:r>
        <w:t xml:space="preserve"> </w:t>
      </w:r>
      <w:r>
        <w:tab/>
        <w:t xml:space="preserve"> </w:t>
      </w:r>
      <w:r>
        <w:tab/>
      </w:r>
      <w:r>
        <w:rPr>
          <w:sz w:val="18"/>
        </w:rPr>
        <w:t xml:space="preserve">Carina </w:t>
      </w:r>
      <w:proofErr w:type="spellStart"/>
      <w:r>
        <w:rPr>
          <w:sz w:val="18"/>
        </w:rPr>
        <w:t>Anteskog</w:t>
      </w:r>
      <w:proofErr w:type="spellEnd"/>
      <w:r>
        <w:rPr>
          <w:sz w:val="18"/>
        </w:rPr>
        <w:t xml:space="preserve"> 2019-03-27</w:t>
      </w:r>
      <w:r>
        <w:t xml:space="preserve"> </w:t>
      </w:r>
    </w:p>
    <w:p w:rsidR="00516C86" w:rsidRDefault="000B4A95">
      <w:pPr>
        <w:spacing w:after="0" w:line="259" w:lineRule="auto"/>
        <w:ind w:left="0" w:firstLine="0"/>
      </w:pPr>
      <w:r>
        <w:t xml:space="preserve"> </w:t>
      </w:r>
    </w:p>
    <w:p w:rsidR="00516C86" w:rsidRDefault="000B4A95">
      <w:pPr>
        <w:spacing w:after="158" w:line="259" w:lineRule="auto"/>
        <w:ind w:left="0" w:firstLine="0"/>
      </w:pPr>
      <w:r>
        <w:t xml:space="preserve"> </w:t>
      </w:r>
    </w:p>
    <w:p w:rsidR="00516C86" w:rsidRDefault="000B4A95">
      <w:pPr>
        <w:spacing w:after="0" w:line="259" w:lineRule="auto"/>
        <w:ind w:left="0" w:firstLine="0"/>
      </w:pPr>
      <w:r>
        <w:t xml:space="preserve"> </w:t>
      </w:r>
    </w:p>
    <w:tbl>
      <w:tblPr>
        <w:tblStyle w:val="TableGrid"/>
        <w:tblW w:w="10807" w:type="dxa"/>
        <w:tblInd w:w="-726" w:type="dxa"/>
        <w:tblCellMar>
          <w:top w:w="48" w:type="dxa"/>
          <w:left w:w="107" w:type="dxa"/>
          <w:right w:w="115" w:type="dxa"/>
        </w:tblCellMar>
        <w:tblLook w:val="04A0" w:firstRow="1" w:lastRow="0" w:firstColumn="1" w:lastColumn="0" w:noHBand="0" w:noVBand="1"/>
      </w:tblPr>
      <w:tblGrid>
        <w:gridCol w:w="10807"/>
      </w:tblGrid>
      <w:tr w:rsidR="00516C86">
        <w:trPr>
          <w:trHeight w:val="594"/>
        </w:trPr>
        <w:tc>
          <w:tcPr>
            <w:tcW w:w="10807" w:type="dxa"/>
            <w:tcBorders>
              <w:top w:val="single" w:sz="4" w:space="0" w:color="BFBFBF"/>
              <w:left w:val="single" w:sz="4" w:space="0" w:color="BFBFBF"/>
              <w:bottom w:val="single" w:sz="4" w:space="0" w:color="BFBFBF"/>
              <w:right w:val="single" w:sz="4" w:space="0" w:color="BFBFBF"/>
            </w:tcBorders>
            <w:shd w:val="clear" w:color="auto" w:fill="FBE4D5"/>
          </w:tcPr>
          <w:p w:rsidR="00516C86" w:rsidRDefault="000B4A95">
            <w:pPr>
              <w:spacing w:after="0" w:line="259" w:lineRule="auto"/>
              <w:ind w:left="0" w:firstLine="0"/>
            </w:pPr>
            <w:r>
              <w:rPr>
                <w:sz w:val="26"/>
              </w:rPr>
              <w:t xml:space="preserve">Aktuella Avtal och Riktlinjer: </w:t>
            </w:r>
            <w:r>
              <w:t xml:space="preserve"> </w:t>
            </w:r>
            <w:r>
              <w:rPr>
                <w:b/>
              </w:rPr>
              <w:t>www.regiondalarna.se/plus/vard/halsa-och-valfard</w:t>
            </w:r>
            <w:r>
              <w:t xml:space="preserve"> </w:t>
            </w:r>
          </w:p>
          <w:p w:rsidR="00516C86" w:rsidRDefault="000B4A95">
            <w:pPr>
              <w:spacing w:after="0" w:line="259" w:lineRule="auto"/>
              <w:ind w:left="0" w:firstLine="0"/>
            </w:pPr>
            <w:r>
              <w:t xml:space="preserve"> </w:t>
            </w:r>
          </w:p>
        </w:tc>
      </w:tr>
      <w:tr w:rsidR="00516C86">
        <w:trPr>
          <w:trHeight w:val="556"/>
        </w:trPr>
        <w:tc>
          <w:tcPr>
            <w:tcW w:w="10807" w:type="dxa"/>
            <w:tcBorders>
              <w:top w:val="single" w:sz="4" w:space="0" w:color="BFBFBF"/>
              <w:left w:val="single" w:sz="4" w:space="0" w:color="BFBFBF"/>
              <w:bottom w:val="single" w:sz="4" w:space="0" w:color="BFBFBF"/>
              <w:right w:val="single" w:sz="4" w:space="0" w:color="BFBFBF"/>
            </w:tcBorders>
          </w:tcPr>
          <w:p w:rsidR="00516C86" w:rsidRDefault="00612C68">
            <w:pPr>
              <w:spacing w:after="0" w:line="259" w:lineRule="auto"/>
              <w:ind w:left="0" w:firstLine="0"/>
            </w:pPr>
            <w:hyperlink r:id="rId6">
              <w:r w:rsidR="000B4A95">
                <w:rPr>
                  <w:color w:val="0563C1"/>
                  <w:u w:val="single" w:color="0563C1"/>
                </w:rPr>
                <w:t>https://www.regiondalarna.se/plus/vard/halsa</w:t>
              </w:r>
            </w:hyperlink>
            <w:hyperlink r:id="rId7">
              <w:r w:rsidR="000B4A95">
                <w:rPr>
                  <w:color w:val="0563C1"/>
                  <w:u w:val="single" w:color="0563C1"/>
                </w:rPr>
                <w:t>-</w:t>
              </w:r>
            </w:hyperlink>
            <w:hyperlink r:id="rId8">
              <w:r w:rsidR="000B4A95">
                <w:rPr>
                  <w:color w:val="0563C1"/>
                  <w:u w:val="single" w:color="0563C1"/>
                </w:rPr>
                <w:t>och</w:t>
              </w:r>
            </w:hyperlink>
            <w:hyperlink r:id="rId9">
              <w:r w:rsidR="000B4A95">
                <w:rPr>
                  <w:color w:val="0563C1"/>
                  <w:u w:val="single" w:color="0563C1"/>
                </w:rPr>
                <w:t>-</w:t>
              </w:r>
            </w:hyperlink>
            <w:hyperlink r:id="rId10">
              <w:r w:rsidR="000B4A95">
                <w:rPr>
                  <w:color w:val="0563C1"/>
                  <w:u w:val="single" w:color="0563C1"/>
                </w:rPr>
                <w:t>valfard/</w:t>
              </w:r>
            </w:hyperlink>
            <w:hyperlink r:id="rId11">
              <w:r w:rsidR="000B4A95">
                <w:t xml:space="preserve"> </w:t>
              </w:r>
            </w:hyperlink>
          </w:p>
          <w:p w:rsidR="00516C86" w:rsidRDefault="000B4A95">
            <w:pPr>
              <w:spacing w:after="0" w:line="259" w:lineRule="auto"/>
              <w:ind w:left="0" w:firstLine="0"/>
            </w:pPr>
            <w:r>
              <w:t xml:space="preserve"> </w:t>
            </w:r>
          </w:p>
        </w:tc>
      </w:tr>
      <w:tr w:rsidR="00516C86">
        <w:trPr>
          <w:trHeight w:val="507"/>
        </w:trPr>
        <w:tc>
          <w:tcPr>
            <w:tcW w:w="10807" w:type="dxa"/>
            <w:tcBorders>
              <w:top w:val="single" w:sz="4" w:space="0" w:color="BFBFBF"/>
              <w:left w:val="single" w:sz="4" w:space="0" w:color="BFBFBF"/>
              <w:bottom w:val="single" w:sz="4" w:space="0" w:color="BFBFBF"/>
              <w:right w:val="single" w:sz="4" w:space="0" w:color="BFBFBF"/>
            </w:tcBorders>
          </w:tcPr>
          <w:p w:rsidR="00516C86" w:rsidRDefault="00612C68">
            <w:pPr>
              <w:spacing w:after="0" w:line="259" w:lineRule="auto"/>
              <w:ind w:left="0" w:firstLine="0"/>
            </w:pPr>
            <w:hyperlink r:id="rId12">
              <w:r w:rsidR="000B4A95">
                <w:rPr>
                  <w:color w:val="0563C1"/>
                  <w:u w:val="single" w:color="0563C1"/>
                </w:rPr>
                <w:t>https://www.regiondalarna.se/plus/vard/halsa</w:t>
              </w:r>
            </w:hyperlink>
            <w:hyperlink r:id="rId13">
              <w:r w:rsidR="000B4A95">
                <w:rPr>
                  <w:color w:val="0563C1"/>
                  <w:u w:val="single" w:color="0563C1"/>
                </w:rPr>
                <w:t>-</w:t>
              </w:r>
            </w:hyperlink>
            <w:hyperlink r:id="rId14">
              <w:r w:rsidR="000B4A95">
                <w:rPr>
                  <w:color w:val="0563C1"/>
                  <w:u w:val="single" w:color="0563C1"/>
                </w:rPr>
                <w:t>och</w:t>
              </w:r>
            </w:hyperlink>
            <w:hyperlink r:id="rId15">
              <w:r w:rsidR="000B4A95">
                <w:rPr>
                  <w:color w:val="0563C1"/>
                  <w:u w:val="single" w:color="0563C1"/>
                </w:rPr>
                <w:t>-</w:t>
              </w:r>
            </w:hyperlink>
            <w:hyperlink r:id="rId16">
              <w:r w:rsidR="000B4A95">
                <w:rPr>
                  <w:color w:val="0563C1"/>
                  <w:u w:val="single" w:color="0563C1"/>
                </w:rPr>
                <w:t>valfard/regionala</w:t>
              </w:r>
            </w:hyperlink>
            <w:hyperlink r:id="rId17">
              <w:r w:rsidR="000B4A95">
                <w:rPr>
                  <w:color w:val="0563C1"/>
                  <w:u w:val="single" w:color="0563C1"/>
                </w:rPr>
                <w:t>-</w:t>
              </w:r>
            </w:hyperlink>
            <w:hyperlink r:id="rId18">
              <w:r w:rsidR="000B4A95">
                <w:rPr>
                  <w:color w:val="0563C1"/>
                  <w:u w:val="single" w:color="0563C1"/>
                </w:rPr>
                <w:t>samverkansdokument/</w:t>
              </w:r>
            </w:hyperlink>
            <w:hyperlink r:id="rId19">
              <w:r w:rsidR="000B4A95">
                <w:t xml:space="preserve"> </w:t>
              </w:r>
            </w:hyperlink>
          </w:p>
          <w:p w:rsidR="00516C86" w:rsidRDefault="000B4A95">
            <w:pPr>
              <w:spacing w:after="0" w:line="259" w:lineRule="auto"/>
              <w:ind w:left="0" w:firstLine="0"/>
            </w:pPr>
            <w:r>
              <w:rPr>
                <w:rFonts w:ascii="Times New Roman" w:eastAsia="Times New Roman" w:hAnsi="Times New Roman" w:cs="Times New Roman"/>
                <w:sz w:val="20"/>
              </w:rPr>
              <w:t xml:space="preserve"> </w:t>
            </w:r>
          </w:p>
        </w:tc>
      </w:tr>
      <w:tr w:rsidR="00516C86">
        <w:trPr>
          <w:trHeight w:val="816"/>
        </w:trPr>
        <w:tc>
          <w:tcPr>
            <w:tcW w:w="10807" w:type="dxa"/>
            <w:tcBorders>
              <w:top w:val="single" w:sz="4" w:space="0" w:color="BFBFBF"/>
              <w:left w:val="single" w:sz="4" w:space="0" w:color="BFBFBF"/>
              <w:bottom w:val="single" w:sz="4" w:space="0" w:color="BFBFBF"/>
              <w:right w:val="single" w:sz="4" w:space="0" w:color="BFBFBF"/>
            </w:tcBorders>
          </w:tcPr>
          <w:p w:rsidR="00516C86" w:rsidRDefault="00612C68">
            <w:pPr>
              <w:spacing w:after="0" w:line="239" w:lineRule="auto"/>
              <w:ind w:left="0" w:firstLine="0"/>
            </w:pPr>
            <w:hyperlink r:id="rId20">
              <w:r w:rsidR="000B4A95">
                <w:rPr>
                  <w:color w:val="0563C1"/>
                  <w:u w:val="single" w:color="0563C1"/>
                </w:rPr>
                <w:t>https://www.regiondalarna.se/plus/vard/halsa</w:t>
              </w:r>
            </w:hyperlink>
            <w:hyperlink r:id="rId21">
              <w:r w:rsidR="000B4A95">
                <w:rPr>
                  <w:color w:val="0563C1"/>
                  <w:u w:val="single" w:color="0563C1"/>
                </w:rPr>
                <w:t>-</w:t>
              </w:r>
            </w:hyperlink>
            <w:hyperlink r:id="rId22">
              <w:r w:rsidR="000B4A95">
                <w:rPr>
                  <w:color w:val="0563C1"/>
                  <w:u w:val="single" w:color="0563C1"/>
                </w:rPr>
                <w:t>och</w:t>
              </w:r>
            </w:hyperlink>
            <w:hyperlink r:id="rId23">
              <w:r w:rsidR="000B4A95">
                <w:rPr>
                  <w:color w:val="0563C1"/>
                  <w:u w:val="single" w:color="0563C1"/>
                </w:rPr>
                <w:t>-</w:t>
              </w:r>
            </w:hyperlink>
            <w:hyperlink r:id="rId24">
              <w:r w:rsidR="000B4A95">
                <w:rPr>
                  <w:color w:val="0563C1"/>
                  <w:u w:val="single" w:color="0563C1"/>
                </w:rPr>
                <w:t>valfard/samverkan</w:t>
              </w:r>
            </w:hyperlink>
            <w:hyperlink r:id="rId25">
              <w:r w:rsidR="000B4A95">
                <w:rPr>
                  <w:color w:val="0563C1"/>
                  <w:u w:val="single" w:color="0563C1"/>
                </w:rPr>
                <w:t>-</w:t>
              </w:r>
            </w:hyperlink>
            <w:hyperlink r:id="rId26">
              <w:r w:rsidR="000B4A95">
                <w:rPr>
                  <w:color w:val="0563C1"/>
                  <w:u w:val="single" w:color="0563C1"/>
                </w:rPr>
                <w:t>vid</w:t>
              </w:r>
            </w:hyperlink>
            <w:hyperlink r:id="rId27">
              <w:r w:rsidR="000B4A95">
                <w:rPr>
                  <w:color w:val="0563C1"/>
                  <w:u w:val="single" w:color="0563C1"/>
                </w:rPr>
                <w:t>-</w:t>
              </w:r>
            </w:hyperlink>
            <w:hyperlink r:id="rId28">
              <w:r w:rsidR="000B4A95">
                <w:rPr>
                  <w:color w:val="0563C1"/>
                  <w:u w:val="single" w:color="0563C1"/>
                </w:rPr>
                <w:t>utskrivning</w:t>
              </w:r>
            </w:hyperlink>
            <w:hyperlink r:id="rId29">
              <w:r w:rsidR="000B4A95">
                <w:rPr>
                  <w:color w:val="0563C1"/>
                  <w:u w:val="single" w:color="0563C1"/>
                </w:rPr>
                <w:t>-</w:t>
              </w:r>
            </w:hyperlink>
            <w:hyperlink r:id="rId30">
              <w:r w:rsidR="000B4A95">
                <w:rPr>
                  <w:color w:val="0563C1"/>
                  <w:u w:val="single" w:color="0563C1"/>
                </w:rPr>
                <w:t>fran</w:t>
              </w:r>
            </w:hyperlink>
            <w:hyperlink r:id="rId31">
              <w:r w:rsidR="000B4A95">
                <w:rPr>
                  <w:color w:val="0563C1"/>
                  <w:u w:val="single" w:color="0563C1"/>
                </w:rPr>
                <w:t>-</w:t>
              </w:r>
            </w:hyperlink>
            <w:hyperlink r:id="rId32">
              <w:r w:rsidR="000B4A95">
                <w:rPr>
                  <w:color w:val="0563C1"/>
                  <w:u w:val="single" w:color="0563C1"/>
                </w:rPr>
                <w:t>sluten</w:t>
              </w:r>
            </w:hyperlink>
            <w:hyperlink r:id="rId33">
              <w:r w:rsidR="000B4A95">
                <w:rPr>
                  <w:color w:val="0563C1"/>
                  <w:u w:val="single" w:color="0563C1"/>
                </w:rPr>
                <w:t>-</w:t>
              </w:r>
            </w:hyperlink>
            <w:hyperlink r:id="rId34">
              <w:r w:rsidR="000B4A95">
                <w:rPr>
                  <w:color w:val="0563C1"/>
                  <w:u w:val="single" w:color="0563C1"/>
                </w:rPr>
                <w:t>halso</w:t>
              </w:r>
            </w:hyperlink>
            <w:hyperlink r:id="rId35">
              <w:r w:rsidR="000B4A95">
                <w:rPr>
                  <w:color w:val="0563C1"/>
                  <w:u w:val="single" w:color="0563C1"/>
                </w:rPr>
                <w:t>--</w:t>
              </w:r>
            </w:hyperlink>
            <w:hyperlink r:id="rId36">
              <w:r w:rsidR="000B4A95">
                <w:rPr>
                  <w:color w:val="0563C1"/>
                  <w:u w:val="single" w:color="0563C1"/>
                </w:rPr>
                <w:t>och</w:t>
              </w:r>
            </w:hyperlink>
            <w:hyperlink r:id="rId37"/>
            <w:hyperlink r:id="rId38">
              <w:r w:rsidR="000B4A95">
                <w:rPr>
                  <w:color w:val="0563C1"/>
                  <w:u w:val="single" w:color="0563C1"/>
                </w:rPr>
                <w:t>sjukvard/dokument/</w:t>
              </w:r>
            </w:hyperlink>
            <w:hyperlink r:id="rId39">
              <w:r w:rsidR="000B4A95">
                <w:t xml:space="preserve"> </w:t>
              </w:r>
            </w:hyperlink>
          </w:p>
          <w:p w:rsidR="00516C86" w:rsidRDefault="000B4A95">
            <w:pPr>
              <w:spacing w:after="0" w:line="259" w:lineRule="auto"/>
              <w:ind w:left="0" w:firstLine="0"/>
            </w:pPr>
            <w:r>
              <w:t xml:space="preserve"> </w:t>
            </w:r>
          </w:p>
        </w:tc>
      </w:tr>
    </w:tbl>
    <w:p w:rsidR="00516C86" w:rsidRDefault="000B4A95">
      <w:pPr>
        <w:spacing w:after="160" w:line="259" w:lineRule="auto"/>
        <w:ind w:left="0" w:firstLine="0"/>
      </w:pPr>
      <w:r>
        <w:t xml:space="preserve"> </w:t>
      </w:r>
    </w:p>
    <w:p w:rsidR="00516C86" w:rsidRDefault="000B4A95">
      <w:pPr>
        <w:spacing w:after="0" w:line="259" w:lineRule="auto"/>
        <w:ind w:left="0" w:firstLine="0"/>
      </w:pPr>
      <w:r>
        <w:t xml:space="preserve"> </w:t>
      </w:r>
    </w:p>
    <w:tbl>
      <w:tblPr>
        <w:tblStyle w:val="TableGrid"/>
        <w:tblW w:w="10774" w:type="dxa"/>
        <w:tblInd w:w="-707" w:type="dxa"/>
        <w:tblCellMar>
          <w:top w:w="47" w:type="dxa"/>
          <w:left w:w="107" w:type="dxa"/>
          <w:right w:w="102" w:type="dxa"/>
        </w:tblCellMar>
        <w:tblLook w:val="04A0" w:firstRow="1" w:lastRow="0" w:firstColumn="1" w:lastColumn="0" w:noHBand="0" w:noVBand="1"/>
      </w:tblPr>
      <w:tblGrid>
        <w:gridCol w:w="5232"/>
        <w:gridCol w:w="5542"/>
      </w:tblGrid>
      <w:tr w:rsidR="00516C86">
        <w:trPr>
          <w:trHeight w:val="276"/>
        </w:trPr>
        <w:tc>
          <w:tcPr>
            <w:tcW w:w="5232" w:type="dxa"/>
            <w:tcBorders>
              <w:top w:val="single" w:sz="4" w:space="0" w:color="C0C0C0"/>
              <w:left w:val="single" w:sz="4" w:space="0" w:color="C0C0C0"/>
              <w:bottom w:val="single" w:sz="4" w:space="0" w:color="C0C0C0"/>
              <w:right w:val="single" w:sz="4" w:space="0" w:color="C0C0C0"/>
            </w:tcBorders>
            <w:shd w:val="clear" w:color="auto" w:fill="E6E6E6"/>
          </w:tcPr>
          <w:p w:rsidR="00516C86" w:rsidRDefault="000B4A95">
            <w:pPr>
              <w:spacing w:after="0" w:line="259" w:lineRule="auto"/>
              <w:ind w:left="0" w:firstLine="0"/>
            </w:pPr>
            <w:r>
              <w:rPr>
                <w:b/>
              </w:rPr>
              <w:t xml:space="preserve">Äldre Dokument  </w:t>
            </w:r>
          </w:p>
        </w:tc>
        <w:tc>
          <w:tcPr>
            <w:tcW w:w="5542" w:type="dxa"/>
            <w:tcBorders>
              <w:top w:val="single" w:sz="4" w:space="0" w:color="C0C0C0"/>
              <w:left w:val="single" w:sz="4" w:space="0" w:color="C0C0C0"/>
              <w:bottom w:val="single" w:sz="4" w:space="0" w:color="C0C0C0"/>
              <w:right w:val="single" w:sz="4" w:space="0" w:color="C0C0C0"/>
            </w:tcBorders>
            <w:shd w:val="clear" w:color="auto" w:fill="E6E6E6"/>
          </w:tcPr>
          <w:p w:rsidR="00516C86" w:rsidRDefault="000B4A95">
            <w:pPr>
              <w:spacing w:after="0" w:line="259" w:lineRule="auto"/>
              <w:ind w:left="1" w:firstLine="0"/>
            </w:pPr>
            <w:r>
              <w:rPr>
                <w:b/>
              </w:rPr>
              <w:t xml:space="preserve">Ersattes av </w:t>
            </w:r>
          </w:p>
        </w:tc>
      </w:tr>
      <w:tr w:rsidR="00516C86">
        <w:trPr>
          <w:trHeight w:val="817"/>
        </w:trPr>
        <w:tc>
          <w:tcPr>
            <w:tcW w:w="5232" w:type="dxa"/>
            <w:tcBorders>
              <w:top w:val="single" w:sz="4" w:space="0" w:color="C0C0C0"/>
              <w:left w:val="single" w:sz="4" w:space="0" w:color="C0C0C0"/>
              <w:bottom w:val="single" w:sz="4" w:space="0" w:color="C0C0C0"/>
              <w:right w:val="single" w:sz="4" w:space="0" w:color="C0C0C0"/>
            </w:tcBorders>
          </w:tcPr>
          <w:p w:rsidR="00516C86" w:rsidRDefault="000B4A95">
            <w:pPr>
              <w:spacing w:after="0" w:line="259" w:lineRule="auto"/>
              <w:ind w:left="0" w:right="133" w:firstLine="0"/>
            </w:pPr>
            <w:r>
              <w:rPr>
                <w:noProof/>
              </w:rPr>
              <mc:AlternateContent>
                <mc:Choice Requires="wpg">
                  <w:drawing>
                    <wp:anchor distT="0" distB="0" distL="114300" distR="114300" simplePos="0" relativeHeight="251658240" behindDoc="0" locked="0" layoutInCell="1" allowOverlap="1">
                      <wp:simplePos x="0" y="0"/>
                      <wp:positionH relativeFrom="column">
                        <wp:posOffset>2736723</wp:posOffset>
                      </wp:positionH>
                      <wp:positionV relativeFrom="paragraph">
                        <wp:posOffset>12065</wp:posOffset>
                      </wp:positionV>
                      <wp:extent cx="436245" cy="271780"/>
                      <wp:effectExtent l="0" t="0" r="0" b="0"/>
                      <wp:wrapSquare wrapText="bothSides"/>
                      <wp:docPr id="3326" name="Group 3326"/>
                      <wp:cNvGraphicFramePr/>
                      <a:graphic xmlns:a="http://schemas.openxmlformats.org/drawingml/2006/main">
                        <a:graphicData uri="http://schemas.microsoft.com/office/word/2010/wordprocessingGroup">
                          <wpg:wgp>
                            <wpg:cNvGrpSpPr/>
                            <wpg:grpSpPr>
                              <a:xfrm>
                                <a:off x="0" y="0"/>
                                <a:ext cx="436245" cy="271780"/>
                                <a:chOff x="0" y="0"/>
                                <a:chExt cx="436245" cy="271780"/>
                              </a:xfrm>
                            </wpg:grpSpPr>
                            <wps:wsp>
                              <wps:cNvPr id="476" name="Shape 476"/>
                              <wps:cNvSpPr/>
                              <wps:spPr>
                                <a:xfrm>
                                  <a:off x="0" y="0"/>
                                  <a:ext cx="436245" cy="271780"/>
                                </a:xfrm>
                                <a:custGeom>
                                  <a:avLst/>
                                  <a:gdLst/>
                                  <a:ahLst/>
                                  <a:cxnLst/>
                                  <a:rect l="0" t="0" r="0" b="0"/>
                                  <a:pathLst>
                                    <a:path w="436245" h="271780">
                                      <a:moveTo>
                                        <a:pt x="300355" y="0"/>
                                      </a:moveTo>
                                      <a:lnTo>
                                        <a:pt x="436245" y="135890"/>
                                      </a:lnTo>
                                      <a:lnTo>
                                        <a:pt x="300355" y="271780"/>
                                      </a:lnTo>
                                      <a:lnTo>
                                        <a:pt x="300355" y="203835"/>
                                      </a:lnTo>
                                      <a:lnTo>
                                        <a:pt x="0" y="203835"/>
                                      </a:lnTo>
                                      <a:lnTo>
                                        <a:pt x="0" y="67945"/>
                                      </a:lnTo>
                                      <a:lnTo>
                                        <a:pt x="300355" y="67945"/>
                                      </a:lnTo>
                                      <a:lnTo>
                                        <a:pt x="300355"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77" name="Shape 477"/>
                              <wps:cNvSpPr/>
                              <wps:spPr>
                                <a:xfrm>
                                  <a:off x="0" y="0"/>
                                  <a:ext cx="436245" cy="271780"/>
                                </a:xfrm>
                                <a:custGeom>
                                  <a:avLst/>
                                  <a:gdLst/>
                                  <a:ahLst/>
                                  <a:cxnLst/>
                                  <a:rect l="0" t="0" r="0" b="0"/>
                                  <a:pathLst>
                                    <a:path w="436245" h="271780">
                                      <a:moveTo>
                                        <a:pt x="0" y="67945"/>
                                      </a:moveTo>
                                      <a:lnTo>
                                        <a:pt x="300355" y="67945"/>
                                      </a:lnTo>
                                      <a:lnTo>
                                        <a:pt x="300355" y="0"/>
                                      </a:lnTo>
                                      <a:lnTo>
                                        <a:pt x="436245" y="135890"/>
                                      </a:lnTo>
                                      <a:lnTo>
                                        <a:pt x="300355" y="271780"/>
                                      </a:lnTo>
                                      <a:lnTo>
                                        <a:pt x="300355" y="203835"/>
                                      </a:lnTo>
                                      <a:lnTo>
                                        <a:pt x="0" y="203835"/>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26" style="width:34.35pt;height:21.4pt;position:absolute;mso-position-horizontal-relative:text;mso-position-horizontal:absolute;margin-left:215.49pt;mso-position-vertical-relative:text;margin-top:0.949982pt;" coordsize="4362,2717">
                      <v:shape id="Shape 476" style="position:absolute;width:4362;height:2717;left:0;top:0;" coordsize="436245,271780" path="m300355,0l436245,135890l300355,271780l300355,203835l0,203835l0,67945l300355,67945l300355,0x">
                        <v:stroke weight="0pt" endcap="flat" joinstyle="miter" miterlimit="10" on="false" color="#000000" opacity="0"/>
                        <v:fill on="true" color="#5b9bd5"/>
                      </v:shape>
                      <v:shape id="Shape 477" style="position:absolute;width:4362;height:2717;left:0;top:0;" coordsize="436245,271780" path="m0,67945l300355,67945l300355,0l436245,135890l300355,271780l300355,203835l0,203835x">
                        <v:stroke weight="1pt" endcap="flat" joinstyle="miter" miterlimit="10" on="true" color="#41719c"/>
                        <v:fill on="false" color="#000000" opacity="0"/>
                      </v:shape>
                      <w10:wrap type="square"/>
                    </v:group>
                  </w:pict>
                </mc:Fallback>
              </mc:AlternateContent>
            </w:r>
            <w:r>
              <w:t xml:space="preserve">Alla Vinner 2 från 1999 </w:t>
            </w:r>
          </w:p>
          <w:p w:rsidR="00516C86" w:rsidRDefault="000B4A95">
            <w:pPr>
              <w:spacing w:after="0" w:line="259" w:lineRule="auto"/>
              <w:ind w:left="0" w:right="133" w:firstLine="0"/>
            </w:pPr>
            <w:r>
              <w:rPr>
                <w:color w:val="FF0000"/>
              </w:rPr>
              <w:t xml:space="preserve"> </w:t>
            </w:r>
          </w:p>
        </w:tc>
        <w:tc>
          <w:tcPr>
            <w:tcW w:w="5542" w:type="dxa"/>
            <w:tcBorders>
              <w:top w:val="single" w:sz="4" w:space="0" w:color="C0C0C0"/>
              <w:left w:val="single" w:sz="4" w:space="0" w:color="C0C0C0"/>
              <w:bottom w:val="single" w:sz="4" w:space="0" w:color="C0C0C0"/>
              <w:right w:val="single" w:sz="4" w:space="0" w:color="C0C0C0"/>
            </w:tcBorders>
          </w:tcPr>
          <w:p w:rsidR="00516C86" w:rsidRDefault="000B4A95">
            <w:pPr>
              <w:spacing w:after="0" w:line="239" w:lineRule="auto"/>
              <w:ind w:left="1" w:right="277" w:firstLine="0"/>
            </w:pPr>
            <w:r>
              <w:t xml:space="preserve">Rehabilitering, Habilitering &amp; hjälpmedel i Dalarnas län  – särskild överenskommelse + anvisning 2012 </w:t>
            </w:r>
          </w:p>
          <w:p w:rsidR="00516C86" w:rsidRDefault="000B4A95">
            <w:pPr>
              <w:spacing w:after="0" w:line="259" w:lineRule="auto"/>
              <w:ind w:left="1" w:firstLine="0"/>
            </w:pPr>
            <w:r>
              <w:t xml:space="preserve"> </w:t>
            </w:r>
          </w:p>
        </w:tc>
      </w:tr>
      <w:tr w:rsidR="00516C86">
        <w:trPr>
          <w:trHeight w:val="1354"/>
        </w:trPr>
        <w:tc>
          <w:tcPr>
            <w:tcW w:w="5232" w:type="dxa"/>
            <w:tcBorders>
              <w:top w:val="single" w:sz="4" w:space="0" w:color="C0C0C0"/>
              <w:left w:val="single" w:sz="4" w:space="0" w:color="C0C0C0"/>
              <w:bottom w:val="single" w:sz="4" w:space="0" w:color="C0C0C0"/>
              <w:right w:val="single" w:sz="4" w:space="0" w:color="C0C0C0"/>
            </w:tcBorders>
          </w:tcPr>
          <w:p w:rsidR="00516C86" w:rsidRDefault="000B4A95">
            <w:pPr>
              <w:spacing w:after="0" w:line="259" w:lineRule="auto"/>
              <w:ind w:left="0" w:firstLine="0"/>
            </w:pPr>
            <w:r>
              <w:rPr>
                <w:noProof/>
              </w:rPr>
              <mc:AlternateContent>
                <mc:Choice Requires="wpg">
                  <w:drawing>
                    <wp:anchor distT="0" distB="0" distL="114300" distR="114300" simplePos="0" relativeHeight="251659264" behindDoc="0" locked="0" layoutInCell="1" allowOverlap="1">
                      <wp:simplePos x="0" y="0"/>
                      <wp:positionH relativeFrom="column">
                        <wp:posOffset>2787523</wp:posOffset>
                      </wp:positionH>
                      <wp:positionV relativeFrom="paragraph">
                        <wp:posOffset>123444</wp:posOffset>
                      </wp:positionV>
                      <wp:extent cx="436245" cy="271780"/>
                      <wp:effectExtent l="0" t="0" r="0" b="0"/>
                      <wp:wrapSquare wrapText="bothSides"/>
                      <wp:docPr id="3354" name="Group 3354"/>
                      <wp:cNvGraphicFramePr/>
                      <a:graphic xmlns:a="http://schemas.openxmlformats.org/drawingml/2006/main">
                        <a:graphicData uri="http://schemas.microsoft.com/office/word/2010/wordprocessingGroup">
                          <wpg:wgp>
                            <wpg:cNvGrpSpPr/>
                            <wpg:grpSpPr>
                              <a:xfrm>
                                <a:off x="0" y="0"/>
                                <a:ext cx="436245" cy="271780"/>
                                <a:chOff x="0" y="0"/>
                                <a:chExt cx="436245" cy="271780"/>
                              </a:xfrm>
                            </wpg:grpSpPr>
                            <wps:wsp>
                              <wps:cNvPr id="478" name="Shape 478"/>
                              <wps:cNvSpPr/>
                              <wps:spPr>
                                <a:xfrm>
                                  <a:off x="0" y="0"/>
                                  <a:ext cx="436245" cy="271780"/>
                                </a:xfrm>
                                <a:custGeom>
                                  <a:avLst/>
                                  <a:gdLst/>
                                  <a:ahLst/>
                                  <a:cxnLst/>
                                  <a:rect l="0" t="0" r="0" b="0"/>
                                  <a:pathLst>
                                    <a:path w="436245" h="271780">
                                      <a:moveTo>
                                        <a:pt x="300355" y="0"/>
                                      </a:moveTo>
                                      <a:lnTo>
                                        <a:pt x="436245" y="135890"/>
                                      </a:lnTo>
                                      <a:lnTo>
                                        <a:pt x="300355" y="271780"/>
                                      </a:lnTo>
                                      <a:lnTo>
                                        <a:pt x="300355" y="203835"/>
                                      </a:lnTo>
                                      <a:lnTo>
                                        <a:pt x="0" y="203835"/>
                                      </a:lnTo>
                                      <a:lnTo>
                                        <a:pt x="0" y="67945"/>
                                      </a:lnTo>
                                      <a:lnTo>
                                        <a:pt x="300355" y="67945"/>
                                      </a:lnTo>
                                      <a:lnTo>
                                        <a:pt x="300355"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79" name="Shape 479"/>
                              <wps:cNvSpPr/>
                              <wps:spPr>
                                <a:xfrm>
                                  <a:off x="0" y="0"/>
                                  <a:ext cx="436245" cy="271780"/>
                                </a:xfrm>
                                <a:custGeom>
                                  <a:avLst/>
                                  <a:gdLst/>
                                  <a:ahLst/>
                                  <a:cxnLst/>
                                  <a:rect l="0" t="0" r="0" b="0"/>
                                  <a:pathLst>
                                    <a:path w="436245" h="271780">
                                      <a:moveTo>
                                        <a:pt x="0" y="67945"/>
                                      </a:moveTo>
                                      <a:lnTo>
                                        <a:pt x="300355" y="67945"/>
                                      </a:lnTo>
                                      <a:lnTo>
                                        <a:pt x="300355" y="0"/>
                                      </a:lnTo>
                                      <a:lnTo>
                                        <a:pt x="436245" y="135890"/>
                                      </a:lnTo>
                                      <a:lnTo>
                                        <a:pt x="300355" y="271780"/>
                                      </a:lnTo>
                                      <a:lnTo>
                                        <a:pt x="300355" y="203835"/>
                                      </a:lnTo>
                                      <a:lnTo>
                                        <a:pt x="0" y="203835"/>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54" style="width:34.35pt;height:21.4pt;position:absolute;mso-position-horizontal-relative:text;mso-position-horizontal:absolute;margin-left:219.49pt;mso-position-vertical-relative:text;margin-top:9.72pt;" coordsize="4362,2717">
                      <v:shape id="Shape 478" style="position:absolute;width:4362;height:2717;left:0;top:0;" coordsize="436245,271780" path="m300355,0l436245,135890l300355,271780l300355,203835l0,203835l0,67945l300355,67945l300355,0x">
                        <v:stroke weight="0pt" endcap="flat" joinstyle="miter" miterlimit="10" on="false" color="#000000" opacity="0"/>
                        <v:fill on="true" color="#5b9bd5"/>
                      </v:shape>
                      <v:shape id="Shape 479" style="position:absolute;width:4362;height:2717;left:0;top:0;" coordsize="436245,271780" path="m0,67945l300355,67945l300355,0l436245,135890l300355,271780l300355,203835l0,203835x">
                        <v:stroke weight="1pt" endcap="flat" joinstyle="miter" miterlimit="10" on="true" color="#41719c"/>
                        <v:fill on="false" color="#000000" opacity="0"/>
                      </v:shape>
                      <w10:wrap type="square"/>
                    </v:group>
                  </w:pict>
                </mc:Fallback>
              </mc:AlternateContent>
            </w:r>
            <w:r>
              <w:t xml:space="preserve">Hantering av kostnader för Handikapphjälpmedel </w:t>
            </w:r>
          </w:p>
          <w:p w:rsidR="00516C86" w:rsidRDefault="000B4A95">
            <w:pPr>
              <w:spacing w:after="0" w:line="259" w:lineRule="auto"/>
              <w:ind w:left="0" w:right="53" w:firstLine="0"/>
            </w:pPr>
            <w:r>
              <w:t xml:space="preserve">Dnr 0196/04 </w:t>
            </w:r>
          </w:p>
          <w:p w:rsidR="00516C86" w:rsidRDefault="000B4A95">
            <w:pPr>
              <w:spacing w:after="0" w:line="259" w:lineRule="auto"/>
              <w:ind w:left="0" w:right="53" w:firstLine="0"/>
            </w:pPr>
            <w:r>
              <w:t xml:space="preserve"> </w:t>
            </w:r>
          </w:p>
        </w:tc>
        <w:tc>
          <w:tcPr>
            <w:tcW w:w="5542" w:type="dxa"/>
            <w:tcBorders>
              <w:top w:val="single" w:sz="4" w:space="0" w:color="C0C0C0"/>
              <w:left w:val="single" w:sz="4" w:space="0" w:color="C0C0C0"/>
              <w:bottom w:val="single" w:sz="4" w:space="0" w:color="C0C0C0"/>
              <w:right w:val="single" w:sz="4" w:space="0" w:color="C0C0C0"/>
            </w:tcBorders>
          </w:tcPr>
          <w:p w:rsidR="00516C86" w:rsidRDefault="000B4A95">
            <w:pPr>
              <w:spacing w:after="0" w:line="239" w:lineRule="auto"/>
              <w:ind w:left="1" w:firstLine="0"/>
            </w:pPr>
            <w:r>
              <w:t xml:space="preserve">Hantering av kostnader, förskrivning och uppföljningsansvar för hjälpmedel &amp; därtill hörande tjänster inom landstinget &amp; Dalarnas kommuner 2012 </w:t>
            </w:r>
          </w:p>
          <w:p w:rsidR="00516C86" w:rsidRDefault="000B4A95">
            <w:pPr>
              <w:spacing w:after="0" w:line="259" w:lineRule="auto"/>
              <w:ind w:left="1" w:firstLine="0"/>
            </w:pPr>
            <w:r>
              <w:t xml:space="preserve">LD12/03663 </w:t>
            </w:r>
          </w:p>
          <w:p w:rsidR="00516C86" w:rsidRDefault="000B4A95">
            <w:pPr>
              <w:spacing w:after="0" w:line="259" w:lineRule="auto"/>
              <w:ind w:left="1" w:firstLine="0"/>
            </w:pPr>
            <w:r>
              <w:t xml:space="preserve"> </w:t>
            </w:r>
          </w:p>
        </w:tc>
      </w:tr>
      <w:tr w:rsidR="00516C86">
        <w:trPr>
          <w:trHeight w:val="2696"/>
        </w:trPr>
        <w:tc>
          <w:tcPr>
            <w:tcW w:w="5232" w:type="dxa"/>
            <w:tcBorders>
              <w:top w:val="single" w:sz="4" w:space="0" w:color="C0C0C0"/>
              <w:left w:val="single" w:sz="4" w:space="0" w:color="C0C0C0"/>
              <w:bottom w:val="single" w:sz="4" w:space="0" w:color="C0C0C0"/>
              <w:right w:val="single" w:sz="4" w:space="0" w:color="C0C0C0"/>
            </w:tcBorders>
          </w:tcPr>
          <w:p w:rsidR="00516C86" w:rsidRDefault="000B4A95">
            <w:pPr>
              <w:spacing w:after="0" w:line="239" w:lineRule="auto"/>
              <w:ind w:left="0" w:firstLine="0"/>
            </w:pPr>
            <w:r>
              <w:rPr>
                <w:noProof/>
              </w:rPr>
              <mc:AlternateContent>
                <mc:Choice Requires="wpg">
                  <w:drawing>
                    <wp:anchor distT="0" distB="0" distL="114300" distR="114300" simplePos="0" relativeHeight="251660288" behindDoc="0" locked="0" layoutInCell="1" allowOverlap="1">
                      <wp:simplePos x="0" y="0"/>
                      <wp:positionH relativeFrom="column">
                        <wp:posOffset>2819908</wp:posOffset>
                      </wp:positionH>
                      <wp:positionV relativeFrom="paragraph">
                        <wp:posOffset>180975</wp:posOffset>
                      </wp:positionV>
                      <wp:extent cx="436245" cy="271780"/>
                      <wp:effectExtent l="0" t="0" r="0" b="0"/>
                      <wp:wrapSquare wrapText="bothSides"/>
                      <wp:docPr id="3417" name="Group 3417"/>
                      <wp:cNvGraphicFramePr/>
                      <a:graphic xmlns:a="http://schemas.openxmlformats.org/drawingml/2006/main">
                        <a:graphicData uri="http://schemas.microsoft.com/office/word/2010/wordprocessingGroup">
                          <wpg:wgp>
                            <wpg:cNvGrpSpPr/>
                            <wpg:grpSpPr>
                              <a:xfrm>
                                <a:off x="0" y="0"/>
                                <a:ext cx="436245" cy="271780"/>
                                <a:chOff x="0" y="0"/>
                                <a:chExt cx="436245" cy="271780"/>
                              </a:xfrm>
                            </wpg:grpSpPr>
                            <wps:wsp>
                              <wps:cNvPr id="480" name="Shape 480"/>
                              <wps:cNvSpPr/>
                              <wps:spPr>
                                <a:xfrm>
                                  <a:off x="0" y="0"/>
                                  <a:ext cx="436245" cy="271780"/>
                                </a:xfrm>
                                <a:custGeom>
                                  <a:avLst/>
                                  <a:gdLst/>
                                  <a:ahLst/>
                                  <a:cxnLst/>
                                  <a:rect l="0" t="0" r="0" b="0"/>
                                  <a:pathLst>
                                    <a:path w="436245" h="271780">
                                      <a:moveTo>
                                        <a:pt x="300355" y="0"/>
                                      </a:moveTo>
                                      <a:lnTo>
                                        <a:pt x="436245" y="135890"/>
                                      </a:lnTo>
                                      <a:lnTo>
                                        <a:pt x="300355" y="271780"/>
                                      </a:lnTo>
                                      <a:lnTo>
                                        <a:pt x="300355" y="203835"/>
                                      </a:lnTo>
                                      <a:lnTo>
                                        <a:pt x="0" y="203835"/>
                                      </a:lnTo>
                                      <a:lnTo>
                                        <a:pt x="0" y="67945"/>
                                      </a:lnTo>
                                      <a:lnTo>
                                        <a:pt x="300355" y="67945"/>
                                      </a:lnTo>
                                      <a:lnTo>
                                        <a:pt x="300355"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81" name="Shape 481"/>
                              <wps:cNvSpPr/>
                              <wps:spPr>
                                <a:xfrm>
                                  <a:off x="0" y="0"/>
                                  <a:ext cx="436245" cy="271780"/>
                                </a:xfrm>
                                <a:custGeom>
                                  <a:avLst/>
                                  <a:gdLst/>
                                  <a:ahLst/>
                                  <a:cxnLst/>
                                  <a:rect l="0" t="0" r="0" b="0"/>
                                  <a:pathLst>
                                    <a:path w="436245" h="271780">
                                      <a:moveTo>
                                        <a:pt x="0" y="67945"/>
                                      </a:moveTo>
                                      <a:lnTo>
                                        <a:pt x="300355" y="67945"/>
                                      </a:lnTo>
                                      <a:lnTo>
                                        <a:pt x="300355" y="0"/>
                                      </a:lnTo>
                                      <a:lnTo>
                                        <a:pt x="436245" y="135890"/>
                                      </a:lnTo>
                                      <a:lnTo>
                                        <a:pt x="300355" y="271780"/>
                                      </a:lnTo>
                                      <a:lnTo>
                                        <a:pt x="300355" y="203835"/>
                                      </a:lnTo>
                                      <a:lnTo>
                                        <a:pt x="0" y="203835"/>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17" style="width:34.35pt;height:21.4pt;position:absolute;mso-position-horizontal-relative:text;mso-position-horizontal:absolute;margin-left:222.04pt;mso-position-vertical-relative:text;margin-top:14.25pt;" coordsize="4362,2717">
                      <v:shape id="Shape 480" style="position:absolute;width:4362;height:2717;left:0;top:0;" coordsize="436245,271780" path="m300355,0l436245,135890l300355,271780l300355,203835l0,203835l0,67945l300355,67945l300355,0x">
                        <v:stroke weight="0pt" endcap="flat" joinstyle="miter" miterlimit="10" on="false" color="#000000" opacity="0"/>
                        <v:fill on="true" color="#5b9bd5"/>
                      </v:shape>
                      <v:shape id="Shape 481" style="position:absolute;width:4362;height:2717;left:0;top:0;" coordsize="436245,271780" path="m0,67945l300355,67945l300355,0l436245,135890l300355,271780l300355,203835l0,203835x">
                        <v:stroke weight="1pt" endcap="flat" joinstyle="miter" miterlimit="10" on="true" color="#41719c"/>
                        <v:fill on="false" color="#000000" opacity="0"/>
                      </v:shape>
                      <w10:wrap type="square"/>
                    </v:group>
                  </w:pict>
                </mc:Fallback>
              </mc:AlternateContent>
            </w:r>
            <w:r>
              <w:t xml:space="preserve">Rehabilitering, Habilitering &amp; hjälpmedel i Dalarnas län  – särskild överenskommelse + anvisning 2012 </w:t>
            </w:r>
          </w:p>
          <w:p w:rsidR="00516C86" w:rsidRDefault="000B4A95">
            <w:pPr>
              <w:spacing w:after="0" w:line="259" w:lineRule="auto"/>
              <w:ind w:left="0" w:right="2" w:firstLine="0"/>
            </w:pPr>
            <w:r>
              <w:t xml:space="preserve"> </w:t>
            </w:r>
          </w:p>
          <w:p w:rsidR="00516C86" w:rsidRDefault="000B4A95">
            <w:pPr>
              <w:spacing w:after="0" w:line="259" w:lineRule="auto"/>
              <w:ind w:left="0" w:firstLine="0"/>
            </w:pPr>
            <w:r>
              <w:t xml:space="preserve"> </w:t>
            </w:r>
          </w:p>
          <w:p w:rsidR="00516C86" w:rsidRDefault="000B4A95">
            <w:pPr>
              <w:spacing w:after="0" w:line="259" w:lineRule="auto"/>
              <w:ind w:left="0" w:firstLine="0"/>
            </w:pPr>
            <w:r>
              <w:t xml:space="preserve"> </w:t>
            </w:r>
          </w:p>
          <w:p w:rsidR="00516C86" w:rsidRDefault="000B4A95">
            <w:pPr>
              <w:spacing w:after="0" w:line="259" w:lineRule="auto"/>
              <w:ind w:left="0" w:firstLine="0"/>
            </w:pPr>
            <w:r>
              <w:rPr>
                <w:noProof/>
              </w:rPr>
              <mc:AlternateContent>
                <mc:Choice Requires="wpg">
                  <w:drawing>
                    <wp:anchor distT="0" distB="0" distL="114300" distR="114300" simplePos="0" relativeHeight="251661312" behindDoc="0" locked="0" layoutInCell="1" allowOverlap="1">
                      <wp:simplePos x="0" y="0"/>
                      <wp:positionH relativeFrom="column">
                        <wp:posOffset>2878963</wp:posOffset>
                      </wp:positionH>
                      <wp:positionV relativeFrom="paragraph">
                        <wp:posOffset>93092</wp:posOffset>
                      </wp:positionV>
                      <wp:extent cx="378460" cy="149225"/>
                      <wp:effectExtent l="0" t="0" r="0" b="0"/>
                      <wp:wrapSquare wrapText="bothSides"/>
                      <wp:docPr id="3419" name="Group 3419"/>
                      <wp:cNvGraphicFramePr/>
                      <a:graphic xmlns:a="http://schemas.openxmlformats.org/drawingml/2006/main">
                        <a:graphicData uri="http://schemas.microsoft.com/office/word/2010/wordprocessingGroup">
                          <wpg:wgp>
                            <wpg:cNvGrpSpPr/>
                            <wpg:grpSpPr>
                              <a:xfrm>
                                <a:off x="0" y="0"/>
                                <a:ext cx="378460" cy="149225"/>
                                <a:chOff x="0" y="0"/>
                                <a:chExt cx="378460" cy="149225"/>
                              </a:xfrm>
                            </wpg:grpSpPr>
                            <wps:wsp>
                              <wps:cNvPr id="482" name="Shape 482"/>
                              <wps:cNvSpPr/>
                              <wps:spPr>
                                <a:xfrm>
                                  <a:off x="0" y="0"/>
                                  <a:ext cx="378460" cy="149225"/>
                                </a:xfrm>
                                <a:custGeom>
                                  <a:avLst/>
                                  <a:gdLst/>
                                  <a:ahLst/>
                                  <a:cxnLst/>
                                  <a:rect l="0" t="0" r="0" b="0"/>
                                  <a:pathLst>
                                    <a:path w="378460" h="149225">
                                      <a:moveTo>
                                        <a:pt x="74676" y="0"/>
                                      </a:moveTo>
                                      <a:lnTo>
                                        <a:pt x="74676" y="37337"/>
                                      </a:lnTo>
                                      <a:lnTo>
                                        <a:pt x="303911" y="37337"/>
                                      </a:lnTo>
                                      <a:lnTo>
                                        <a:pt x="303911" y="0"/>
                                      </a:lnTo>
                                      <a:lnTo>
                                        <a:pt x="378460" y="74675"/>
                                      </a:lnTo>
                                      <a:lnTo>
                                        <a:pt x="303911" y="149225"/>
                                      </a:lnTo>
                                      <a:lnTo>
                                        <a:pt x="303911" y="112013"/>
                                      </a:lnTo>
                                      <a:lnTo>
                                        <a:pt x="74676" y="112013"/>
                                      </a:lnTo>
                                      <a:lnTo>
                                        <a:pt x="74676" y="149225"/>
                                      </a:lnTo>
                                      <a:lnTo>
                                        <a:pt x="0" y="74675"/>
                                      </a:lnTo>
                                      <a:lnTo>
                                        <a:pt x="74676"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83" name="Shape 483"/>
                              <wps:cNvSpPr/>
                              <wps:spPr>
                                <a:xfrm>
                                  <a:off x="0" y="0"/>
                                  <a:ext cx="378460" cy="149225"/>
                                </a:xfrm>
                                <a:custGeom>
                                  <a:avLst/>
                                  <a:gdLst/>
                                  <a:ahLst/>
                                  <a:cxnLst/>
                                  <a:rect l="0" t="0" r="0" b="0"/>
                                  <a:pathLst>
                                    <a:path w="378460" h="149225">
                                      <a:moveTo>
                                        <a:pt x="0" y="74675"/>
                                      </a:moveTo>
                                      <a:lnTo>
                                        <a:pt x="74676" y="149225"/>
                                      </a:lnTo>
                                      <a:lnTo>
                                        <a:pt x="74676" y="112013"/>
                                      </a:lnTo>
                                      <a:lnTo>
                                        <a:pt x="303911" y="112013"/>
                                      </a:lnTo>
                                      <a:lnTo>
                                        <a:pt x="303911" y="149225"/>
                                      </a:lnTo>
                                      <a:lnTo>
                                        <a:pt x="378460" y="74675"/>
                                      </a:lnTo>
                                      <a:lnTo>
                                        <a:pt x="303911" y="0"/>
                                      </a:lnTo>
                                      <a:lnTo>
                                        <a:pt x="303911" y="37337"/>
                                      </a:lnTo>
                                      <a:lnTo>
                                        <a:pt x="74676" y="37337"/>
                                      </a:lnTo>
                                      <a:lnTo>
                                        <a:pt x="74676"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19" style="width:29.8pt;height:11.75pt;position:absolute;mso-position-horizontal-relative:text;mso-position-horizontal:absolute;margin-left:226.69pt;mso-position-vertical-relative:text;margin-top:7.33005pt;" coordsize="3784,1492">
                      <v:shape id="Shape 482" style="position:absolute;width:3784;height:1492;left:0;top:0;" coordsize="378460,149225" path="m74676,0l74676,37337l303911,37337l303911,0l378460,74675l303911,149225l303911,112013l74676,112013l74676,149225l0,74675l74676,0x">
                        <v:stroke weight="0pt" endcap="flat" joinstyle="miter" miterlimit="10" on="false" color="#000000" opacity="0"/>
                        <v:fill on="true" color="#5b9bd5"/>
                      </v:shape>
                      <v:shape id="Shape 483" style="position:absolute;width:3784;height:1492;left:0;top:0;" coordsize="378460,149225" path="m0,74675l74676,149225l74676,112013l303911,112013l303911,149225l378460,74675l303911,0l303911,37337l74676,37337l74676,0x">
                        <v:stroke weight="1pt" endcap="flat" joinstyle="miter" miterlimit="10" on="true" color="#41719c"/>
                        <v:fill on="false" color="#000000" opacity="0"/>
                      </v:shape>
                      <w10:wrap type="square"/>
                    </v:group>
                  </w:pict>
                </mc:Fallback>
              </mc:AlternateContent>
            </w:r>
            <w:r>
              <w:t xml:space="preserve"> </w:t>
            </w:r>
          </w:p>
          <w:p w:rsidR="00516C86" w:rsidRDefault="000B4A95">
            <w:pPr>
              <w:spacing w:after="0" w:line="259" w:lineRule="auto"/>
              <w:ind w:left="0" w:firstLine="0"/>
            </w:pPr>
            <w:r>
              <w:t xml:space="preserve">Hantering av kostnader, förskrivning och </w:t>
            </w:r>
          </w:p>
          <w:p w:rsidR="00516C86" w:rsidRDefault="000B4A95">
            <w:pPr>
              <w:spacing w:after="0" w:line="239" w:lineRule="auto"/>
              <w:ind w:left="0" w:firstLine="0"/>
            </w:pPr>
            <w:r>
              <w:t xml:space="preserve">uppföljningsansvar för hjälpmedel &amp; därtill hörande tjänster inom landstinget &amp; Dalarnas kommuner 2012 </w:t>
            </w:r>
          </w:p>
          <w:p w:rsidR="00516C86" w:rsidRDefault="000B4A95">
            <w:pPr>
              <w:spacing w:after="0" w:line="259" w:lineRule="auto"/>
              <w:ind w:left="0" w:firstLine="0"/>
            </w:pPr>
            <w:r>
              <w:t xml:space="preserve"> </w:t>
            </w:r>
          </w:p>
        </w:tc>
        <w:tc>
          <w:tcPr>
            <w:tcW w:w="5542" w:type="dxa"/>
            <w:tcBorders>
              <w:top w:val="single" w:sz="4" w:space="0" w:color="C0C0C0"/>
              <w:left w:val="single" w:sz="4" w:space="0" w:color="C0C0C0"/>
              <w:bottom w:val="single" w:sz="4" w:space="0" w:color="C0C0C0"/>
              <w:right w:val="single" w:sz="4" w:space="0" w:color="C0C0C0"/>
            </w:tcBorders>
          </w:tcPr>
          <w:p w:rsidR="00516C86" w:rsidRDefault="00612C68">
            <w:pPr>
              <w:spacing w:after="0" w:line="259" w:lineRule="auto"/>
              <w:ind w:left="1" w:firstLine="0"/>
            </w:pPr>
            <w:hyperlink r:id="rId40">
              <w:r w:rsidR="000B4A95">
                <w:rPr>
                  <w:color w:val="0563C1"/>
                  <w:u w:val="single" w:color="0563C1"/>
                </w:rPr>
                <w:t>Riktlinje Rehabilitering, Habilitering &amp; Hjälpmedel</w:t>
              </w:r>
            </w:hyperlink>
            <w:hyperlink r:id="rId41">
              <w:r w:rsidR="000B4A95">
                <w:t xml:space="preserve"> </w:t>
              </w:r>
            </w:hyperlink>
          </w:p>
          <w:p w:rsidR="00516C86" w:rsidRDefault="000B4A95">
            <w:pPr>
              <w:spacing w:after="0" w:line="239" w:lineRule="auto"/>
              <w:ind w:left="1" w:right="172" w:firstLine="0"/>
            </w:pPr>
            <w:r>
              <w:t xml:space="preserve">Vid revidering inför 2016 bakades dokumentet ihop till en utvidgad anvisning och övriga dokument utgick. Detta dokument är nu under revidering. </w:t>
            </w:r>
          </w:p>
          <w:p w:rsidR="00516C86" w:rsidRDefault="000B4A95">
            <w:pPr>
              <w:spacing w:after="0" w:line="259" w:lineRule="auto"/>
              <w:ind w:left="1" w:firstLine="0"/>
            </w:pPr>
            <w:r>
              <w:t xml:space="preserve"> </w:t>
            </w:r>
          </w:p>
          <w:p w:rsidR="00516C86" w:rsidRDefault="000B4A95">
            <w:pPr>
              <w:spacing w:after="0" w:line="259" w:lineRule="auto"/>
              <w:ind w:left="1" w:firstLine="0"/>
            </w:pPr>
            <w:r>
              <w:t xml:space="preserve"> </w:t>
            </w:r>
          </w:p>
          <w:p w:rsidR="00516C86" w:rsidRDefault="000B4A95">
            <w:pPr>
              <w:spacing w:after="0" w:line="259" w:lineRule="auto"/>
              <w:ind w:left="1" w:firstLine="0"/>
            </w:pPr>
            <w:r>
              <w:t xml:space="preserve">Skulle inte ersättas då 2016, revideras nu och bifogas som bilaga till Rehabilitering, Habilitering och Hjälpmedel. </w:t>
            </w:r>
          </w:p>
        </w:tc>
      </w:tr>
    </w:tbl>
    <w:p w:rsidR="00516C86" w:rsidRDefault="000B4A95">
      <w:pPr>
        <w:spacing w:after="160" w:line="259" w:lineRule="auto"/>
        <w:ind w:left="0" w:firstLine="0"/>
      </w:pPr>
      <w:r>
        <w:t xml:space="preserve"> </w:t>
      </w:r>
    </w:p>
    <w:p w:rsidR="00516C86" w:rsidRDefault="000B4A95">
      <w:pPr>
        <w:spacing w:after="0" w:line="259" w:lineRule="auto"/>
        <w:ind w:left="0" w:firstLine="0"/>
      </w:pPr>
      <w:r>
        <w:t xml:space="preserve"> </w:t>
      </w:r>
    </w:p>
    <w:sectPr w:rsidR="00516C86">
      <w:pgSz w:w="11906" w:h="16838"/>
      <w:pgMar w:top="708" w:right="1419" w:bottom="146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03B17"/>
    <w:multiLevelType w:val="hybridMultilevel"/>
    <w:tmpl w:val="60FC085E"/>
    <w:lvl w:ilvl="0" w:tplc="6EF636BC">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EA635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74F75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BAB2E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E87E1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46C6B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02430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CC600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A2792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C86"/>
    <w:rsid w:val="000B4A95"/>
    <w:rsid w:val="00516C86"/>
    <w:rsid w:val="00612C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97096F-5822-466E-A21C-57D48905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Rubrik1">
    <w:name w:val="heading 1"/>
    <w:next w:val="Normal"/>
    <w:link w:val="Rubrik1Char"/>
    <w:uiPriority w:val="9"/>
    <w:unhideWhenUsed/>
    <w:qFormat/>
    <w:pPr>
      <w:keepNext/>
      <w:keepLines/>
      <w:spacing w:after="0"/>
      <w:outlineLvl w:val="0"/>
    </w:pPr>
    <w:rPr>
      <w:rFonts w:ascii="Calibri" w:eastAsia="Calibri" w:hAnsi="Calibri" w:cs="Calibri"/>
      <w:color w:val="2E74B5"/>
      <w:sz w:val="32"/>
    </w:rPr>
  </w:style>
  <w:style w:type="paragraph" w:styleId="Rubrik2">
    <w:name w:val="heading 2"/>
    <w:next w:val="Normal"/>
    <w:link w:val="Rubrik2Char"/>
    <w:uiPriority w:val="9"/>
    <w:unhideWhenUsed/>
    <w:qFormat/>
    <w:pPr>
      <w:keepNext/>
      <w:keepLines/>
      <w:spacing w:after="0"/>
      <w:ind w:left="10" w:hanging="10"/>
      <w:outlineLvl w:val="1"/>
    </w:pPr>
    <w:rPr>
      <w:rFonts w:ascii="Calibri" w:eastAsia="Calibri" w:hAnsi="Calibri" w:cs="Calibri"/>
      <w:color w:val="2E74B5"/>
      <w:sz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Calibri" w:eastAsia="Calibri" w:hAnsi="Calibri" w:cs="Calibri"/>
      <w:color w:val="2E74B5"/>
      <w:sz w:val="26"/>
    </w:rPr>
  </w:style>
  <w:style w:type="character" w:customStyle="1" w:styleId="Rubrik1Char">
    <w:name w:val="Rubrik 1 Char"/>
    <w:link w:val="Rubrik1"/>
    <w:rPr>
      <w:rFonts w:ascii="Calibri" w:eastAsia="Calibri" w:hAnsi="Calibri" w:cs="Calibri"/>
      <w:color w:val="2E74B5"/>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regiondalarna.se/plus/vard/halsa-och-valfard/" TargetMode="External"/><Relationship Id="rId13" Type="http://schemas.openxmlformats.org/officeDocument/2006/relationships/hyperlink" Target="https://www.regiondalarna.se/plus/vard/halsa-och-valfard/regionala-samverkansdokument/" TargetMode="External"/><Relationship Id="rId18" Type="http://schemas.openxmlformats.org/officeDocument/2006/relationships/hyperlink" Target="https://www.regiondalarna.se/plus/vard/halsa-och-valfard/regionala-samverkansdokument/" TargetMode="External"/><Relationship Id="rId26" Type="http://schemas.openxmlformats.org/officeDocument/2006/relationships/hyperlink" Target="https://www.regiondalarna.se/plus/vard/halsa-och-valfard/samverkan-vid-utskrivning-fran-sluten-halso--och-sjukvard/dokument/" TargetMode="External"/><Relationship Id="rId39" Type="http://schemas.openxmlformats.org/officeDocument/2006/relationships/hyperlink" Target="https://www.regiondalarna.se/plus/vard/halsa-och-valfard/samverkan-vid-utskrivning-fran-sluten-halso--och-sjukvard/dokument/" TargetMode="External"/><Relationship Id="rId3" Type="http://schemas.openxmlformats.org/officeDocument/2006/relationships/settings" Target="settings.xml"/><Relationship Id="rId21" Type="http://schemas.openxmlformats.org/officeDocument/2006/relationships/hyperlink" Target="https://www.regiondalarna.se/plus/vard/halsa-och-valfard/samverkan-vid-utskrivning-fran-sluten-halso--och-sjukvard/dokument/" TargetMode="External"/><Relationship Id="rId34" Type="http://schemas.openxmlformats.org/officeDocument/2006/relationships/hyperlink" Target="https://www.regiondalarna.se/plus/vard/halsa-och-valfard/samverkan-vid-utskrivning-fran-sluten-halso--och-sjukvard/dokument/" TargetMode="External"/><Relationship Id="rId42" Type="http://schemas.openxmlformats.org/officeDocument/2006/relationships/fontTable" Target="fontTable.xml"/><Relationship Id="rId7" Type="http://schemas.openxmlformats.org/officeDocument/2006/relationships/hyperlink" Target="https://www.regiondalarna.se/plus/vard/halsa-och-valfard/" TargetMode="External"/><Relationship Id="rId12" Type="http://schemas.openxmlformats.org/officeDocument/2006/relationships/hyperlink" Target="https://www.regiondalarna.se/plus/vard/halsa-och-valfard/regionala-samverkansdokument/" TargetMode="External"/><Relationship Id="rId17" Type="http://schemas.openxmlformats.org/officeDocument/2006/relationships/hyperlink" Target="https://www.regiondalarna.se/plus/vard/halsa-och-valfard/regionala-samverkansdokument/" TargetMode="External"/><Relationship Id="rId25" Type="http://schemas.openxmlformats.org/officeDocument/2006/relationships/hyperlink" Target="https://www.regiondalarna.se/plus/vard/halsa-och-valfard/samverkan-vid-utskrivning-fran-sluten-halso--och-sjukvard/dokument/" TargetMode="External"/><Relationship Id="rId33" Type="http://schemas.openxmlformats.org/officeDocument/2006/relationships/hyperlink" Target="https://www.regiondalarna.se/plus/vard/halsa-och-valfard/samverkan-vid-utskrivning-fran-sluten-halso--och-sjukvard/dokument/" TargetMode="External"/><Relationship Id="rId38" Type="http://schemas.openxmlformats.org/officeDocument/2006/relationships/hyperlink" Target="https://www.regiondalarna.se/plus/vard/halsa-och-valfard/samverkan-vid-utskrivning-fran-sluten-halso--och-sjukvard/dokument/" TargetMode="External"/><Relationship Id="rId2" Type="http://schemas.openxmlformats.org/officeDocument/2006/relationships/styles" Target="styles.xml"/><Relationship Id="rId16" Type="http://schemas.openxmlformats.org/officeDocument/2006/relationships/hyperlink" Target="https://www.regiondalarna.se/plus/vard/halsa-och-valfard/regionala-samverkansdokument/" TargetMode="External"/><Relationship Id="rId20" Type="http://schemas.openxmlformats.org/officeDocument/2006/relationships/hyperlink" Target="https://www.regiondalarna.se/plus/vard/halsa-och-valfard/samverkan-vid-utskrivning-fran-sluten-halso--och-sjukvard/dokument/" TargetMode="External"/><Relationship Id="rId29" Type="http://schemas.openxmlformats.org/officeDocument/2006/relationships/hyperlink" Target="https://www.regiondalarna.se/plus/vard/halsa-och-valfard/samverkan-vid-utskrivning-fran-sluten-halso--och-sjukvard/dokument/" TargetMode="External"/><Relationship Id="rId41" Type="http://schemas.openxmlformats.org/officeDocument/2006/relationships/hyperlink" Target="https://www.regiondalarna.se/contentassets/b632134047f6442ba95923fc6c43aa13/regionala-samverkansdokument/overenskommelse-rehabilitering-habilitering.pdf" TargetMode="External"/><Relationship Id="rId1" Type="http://schemas.openxmlformats.org/officeDocument/2006/relationships/numbering" Target="numbering.xml"/><Relationship Id="rId6" Type="http://schemas.openxmlformats.org/officeDocument/2006/relationships/hyperlink" Target="https://www.regiondalarna.se/plus/vard/halsa-och-valfard/" TargetMode="External"/><Relationship Id="rId11" Type="http://schemas.openxmlformats.org/officeDocument/2006/relationships/hyperlink" Target="https://www.regiondalarna.se/plus/vard/halsa-och-valfard/" TargetMode="External"/><Relationship Id="rId24" Type="http://schemas.openxmlformats.org/officeDocument/2006/relationships/hyperlink" Target="https://www.regiondalarna.se/plus/vard/halsa-och-valfard/samverkan-vid-utskrivning-fran-sluten-halso--och-sjukvard/dokument/" TargetMode="External"/><Relationship Id="rId32" Type="http://schemas.openxmlformats.org/officeDocument/2006/relationships/hyperlink" Target="https://www.regiondalarna.se/plus/vard/halsa-och-valfard/samverkan-vid-utskrivning-fran-sluten-halso--och-sjukvard/dokument/" TargetMode="External"/><Relationship Id="rId37" Type="http://schemas.openxmlformats.org/officeDocument/2006/relationships/hyperlink" Target="https://www.regiondalarna.se/plus/vard/halsa-och-valfard/samverkan-vid-utskrivning-fran-sluten-halso--och-sjukvard/dokument/" TargetMode="External"/><Relationship Id="rId40" Type="http://schemas.openxmlformats.org/officeDocument/2006/relationships/hyperlink" Target="https://www.regiondalarna.se/contentassets/b632134047f6442ba95923fc6c43aa13/regionala-samverkansdokument/overenskommelse-rehabilitering-habilitering.pdf" TargetMode="External"/><Relationship Id="rId5" Type="http://schemas.openxmlformats.org/officeDocument/2006/relationships/image" Target="media/image1.jpg"/><Relationship Id="rId15" Type="http://schemas.openxmlformats.org/officeDocument/2006/relationships/hyperlink" Target="https://www.regiondalarna.se/plus/vard/halsa-och-valfard/regionala-samverkansdokument/" TargetMode="External"/><Relationship Id="rId23" Type="http://schemas.openxmlformats.org/officeDocument/2006/relationships/hyperlink" Target="https://www.regiondalarna.se/plus/vard/halsa-och-valfard/samverkan-vid-utskrivning-fran-sluten-halso--och-sjukvard/dokument/" TargetMode="External"/><Relationship Id="rId28" Type="http://schemas.openxmlformats.org/officeDocument/2006/relationships/hyperlink" Target="https://www.regiondalarna.se/plus/vard/halsa-och-valfard/samverkan-vid-utskrivning-fran-sluten-halso--och-sjukvard/dokument/" TargetMode="External"/><Relationship Id="rId36" Type="http://schemas.openxmlformats.org/officeDocument/2006/relationships/hyperlink" Target="https://www.regiondalarna.se/plus/vard/halsa-och-valfard/samverkan-vid-utskrivning-fran-sluten-halso--och-sjukvard/dokument/" TargetMode="External"/><Relationship Id="rId10" Type="http://schemas.openxmlformats.org/officeDocument/2006/relationships/hyperlink" Target="https://www.regiondalarna.se/plus/vard/halsa-och-valfard/" TargetMode="External"/><Relationship Id="rId19" Type="http://schemas.openxmlformats.org/officeDocument/2006/relationships/hyperlink" Target="https://www.regiondalarna.se/plus/vard/halsa-och-valfard/regionala-samverkansdokument/" TargetMode="External"/><Relationship Id="rId31" Type="http://schemas.openxmlformats.org/officeDocument/2006/relationships/hyperlink" Target="https://www.regiondalarna.se/plus/vard/halsa-och-valfard/samverkan-vid-utskrivning-fran-sluten-halso--och-sjukvard/dokument/" TargetMode="External"/><Relationship Id="rId4" Type="http://schemas.openxmlformats.org/officeDocument/2006/relationships/webSettings" Target="webSettings.xml"/><Relationship Id="rId9" Type="http://schemas.openxmlformats.org/officeDocument/2006/relationships/hyperlink" Target="https://www.regiondalarna.se/plus/vard/halsa-och-valfard/" TargetMode="External"/><Relationship Id="rId14" Type="http://schemas.openxmlformats.org/officeDocument/2006/relationships/hyperlink" Target="https://www.regiondalarna.se/plus/vard/halsa-och-valfard/regionala-samverkansdokument/" TargetMode="External"/><Relationship Id="rId22" Type="http://schemas.openxmlformats.org/officeDocument/2006/relationships/hyperlink" Target="https://www.regiondalarna.se/plus/vard/halsa-och-valfard/samverkan-vid-utskrivning-fran-sluten-halso--och-sjukvard/dokument/" TargetMode="External"/><Relationship Id="rId27" Type="http://schemas.openxmlformats.org/officeDocument/2006/relationships/hyperlink" Target="https://www.regiondalarna.se/plus/vard/halsa-och-valfard/samverkan-vid-utskrivning-fran-sluten-halso--och-sjukvard/dokument/" TargetMode="External"/><Relationship Id="rId30" Type="http://schemas.openxmlformats.org/officeDocument/2006/relationships/hyperlink" Target="https://www.regiondalarna.se/plus/vard/halsa-och-valfard/samverkan-vid-utskrivning-fran-sluten-halso--och-sjukvard/dokument/" TargetMode="External"/><Relationship Id="rId35" Type="http://schemas.openxmlformats.org/officeDocument/2006/relationships/hyperlink" Target="https://www.regiondalarna.se/plus/vard/halsa-och-valfard/samverkan-vid-utskrivning-fran-sluten-halso--och-sjukvard/dokument/" TargetMode="External"/><Relationship Id="rId43"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1332</Words>
  <Characters>7061</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Anteskog Carina /LD Hjälpmedel Hjälpmedelscentral /Borlänge</dc:creator>
  <cp:keywords/>
  <cp:lastModifiedBy>Liljeberg Hans /Central förvaltning Hälso- och sjukvårdsenhet /Falun</cp:lastModifiedBy>
  <cp:revision>2</cp:revision>
  <dcterms:created xsi:type="dcterms:W3CDTF">2019-05-03T14:38:00Z</dcterms:created>
  <dcterms:modified xsi:type="dcterms:W3CDTF">2019-05-03T14:38:00Z</dcterms:modified>
</cp:coreProperties>
</file>